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cstheme="minorEastAsia"/>
          <w:b/>
          <w:bCs/>
          <w:sz w:val="40"/>
          <w:szCs w:val="40"/>
          <w:lang w:val="en-US" w:eastAsia="zh-CN"/>
        </w:rPr>
      </w:pPr>
    </w:p>
    <w:p>
      <w:pPr>
        <w:jc w:val="center"/>
        <w:rPr>
          <w:rFonts w:hint="eastAsia" w:asciiTheme="minorEastAsia" w:hAnsiTheme="minorEastAsia" w:cstheme="minorEastAsia"/>
          <w:b/>
          <w:bCs/>
          <w:sz w:val="40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40"/>
          <w:szCs w:val="40"/>
          <w:lang w:val="en-US" w:eastAsia="zh-CN"/>
        </w:rPr>
        <w:t>江西理工大学大学继续教育学院青书平台</w:t>
      </w:r>
    </w:p>
    <w:p>
      <w:pPr>
        <w:jc w:val="center"/>
        <w:rPr>
          <w:rFonts w:hint="default" w:asciiTheme="minorEastAsia" w:hAnsi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论文查重与论文上传指南</w:t>
      </w:r>
    </w:p>
    <w:p>
      <w:pPr>
        <w:jc w:val="center"/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2"/>
          <w:szCs w:val="28"/>
          <w:lang w:val="en-US" w:eastAsia="zh-CN" w:bidi="ar-SA"/>
        </w:rPr>
        <w:id w:val="14746139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2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32"/>
              <w:szCs w:val="40"/>
            </w:rPr>
          </w:pPr>
          <w:r>
            <w:rPr>
              <w:rFonts w:ascii="宋体" w:hAnsi="宋体" w:eastAsia="宋体"/>
              <w:b/>
              <w:bCs/>
              <w:sz w:val="32"/>
              <w:szCs w:val="40"/>
            </w:rPr>
            <w:t>目录</w:t>
          </w:r>
        </w:p>
        <w:p>
          <w:pPr>
            <w:pStyle w:val="5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</w:pPr>
          <w:r>
            <w:rPr>
              <w:sz w:val="22"/>
              <w:szCs w:val="28"/>
            </w:rPr>
            <w:fldChar w:fldCharType="begin"/>
          </w:r>
          <w:r>
            <w:rPr>
              <w:sz w:val="22"/>
              <w:szCs w:val="28"/>
            </w:rPr>
            <w:instrText xml:space="preserve">TOC \o "1-1" \h \u </w:instrText>
          </w:r>
          <w:r>
            <w:rPr>
              <w:sz w:val="22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instrText xml:space="preserve"> HYPERLINK \l _Toc8654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t>1.学生如何登录：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tab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instrText xml:space="preserve"> PAGEREF _Toc8654 \h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t>2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instrText xml:space="preserve"> HYPERLINK \l _Toc6046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t>2.上传论文，进行论文查重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tab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instrText xml:space="preserve"> PAGEREF _Toc6046 \h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t>3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instrText xml:space="preserve"> HYPERLINK \l _Toc8856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t>3.进行提交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tab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instrText xml:space="preserve"> PAGEREF _Toc8856 \h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t>5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end"/>
          </w:r>
        </w:p>
        <w:p>
          <w:pPr>
            <w:rPr>
              <w:sz w:val="22"/>
              <w:szCs w:val="28"/>
            </w:rPr>
          </w:pPr>
          <w:r>
            <w:rPr>
              <w:sz w:val="22"/>
              <w:szCs w:val="28"/>
            </w:rPr>
            <w:fldChar w:fldCharType="end"/>
          </w:r>
        </w:p>
      </w:sdtContent>
    </w:sdt>
    <w:p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bidi w:val="0"/>
        <w:outlineLvl w:val="0"/>
        <w:rPr>
          <w:rFonts w:hint="eastAsia"/>
          <w:sz w:val="32"/>
          <w:szCs w:val="36"/>
          <w:lang w:val="en-US" w:eastAsia="zh-CN"/>
        </w:rPr>
      </w:pPr>
      <w:bookmarkStart w:id="0" w:name="_Toc8654"/>
      <w:r>
        <w:rPr>
          <w:rFonts w:hint="eastAsia"/>
          <w:sz w:val="32"/>
          <w:szCs w:val="36"/>
          <w:lang w:val="en-US" w:eastAsia="zh-CN"/>
        </w:rPr>
        <w:t>1.学生如何登录：</w:t>
      </w:r>
      <w:bookmarkEnd w:id="0"/>
    </w:p>
    <w:p>
      <w:pPr>
        <w:ind w:firstLine="560" w:firstLineChars="20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打开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浏览器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建议使用谷歌浏览器，QQ浏览器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）。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在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地址栏输入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lang w:val="en-US" w:eastAsia="zh-CN"/>
        </w:rPr>
        <w:t>网址：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https://www.qingshuxuetang.com/jxust</w:t>
      </w:r>
    </w:p>
    <w:p>
      <w:pPr>
        <w:ind w:firstLine="562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在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val="en-US" w:eastAsia="zh-CN"/>
        </w:rPr>
        <w:t>右上角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val="en-US" w:eastAsia="zh-CN"/>
        </w:rPr>
        <w:t>“登录”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highlight w:val="none"/>
          <w:lang w:val="en-US" w:eastAsia="zh-CN"/>
        </w:rPr>
        <w:t>按钮</w:t>
      </w:r>
    </w:p>
    <w:p>
      <w:pPr>
        <w:jc w:val="both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67325" cy="242316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选择登陆方式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：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方式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①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：输入账号密码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，输入计算结果，点击登录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方式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②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：选择验证码登录，输入已绑定的手机号，查看短信验证码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并登录。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2122805" cy="2468880"/>
            <wp:effectExtent l="0" t="0" r="10795" b="76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2286000" cy="2285365"/>
            <wp:effectExtent l="0" t="0" r="0" b="6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b="1749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28"/>
          <w:szCs w:val="28"/>
          <w:lang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sz w:val="32"/>
          <w:szCs w:val="36"/>
          <w:lang w:val="en-US" w:eastAsia="zh-CN"/>
        </w:rPr>
      </w:pPr>
      <w:bookmarkStart w:id="1" w:name="_Toc6046"/>
      <w:r>
        <w:rPr>
          <w:rFonts w:hint="eastAsia"/>
          <w:sz w:val="32"/>
          <w:szCs w:val="36"/>
          <w:lang w:val="en-US" w:eastAsia="zh-CN"/>
        </w:rPr>
        <w:t>上传论文，进行论文查重</w:t>
      </w:r>
      <w:bookmarkEnd w:id="1"/>
    </w:p>
    <w:p>
      <w:pPr>
        <w:ind w:firstLine="281" w:firstLineChars="10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（1）论文撰写后，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如图示：点击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论文，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点击论文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流程，</w:t>
      </w:r>
    </w:p>
    <w:p>
      <w:pPr>
        <w:ind w:left="279" w:leftChars="133" w:firstLine="0" w:firstLineChars="0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先输入选题，再上传论文（论文稿件格式</w:t>
      </w:r>
      <w:r>
        <w:rPr>
          <w:rFonts w:ascii="宋体" w:hAnsi="宋体" w:eastAsia="宋体" w:cs="宋体"/>
          <w:sz w:val="28"/>
          <w:szCs w:val="28"/>
        </w:rPr>
        <w:t>“张三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+学号+题目</w:t>
      </w:r>
      <w:r>
        <w:rPr>
          <w:rFonts w:ascii="宋体" w:hAnsi="宋体" w:eastAsia="宋体" w:cs="宋体"/>
          <w:sz w:val="28"/>
          <w:szCs w:val="28"/>
        </w:rPr>
        <w:t>”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上传论文后点图示④的论文查重，论文查重后才能进行提交。</w:t>
      </w:r>
    </w:p>
    <w:p>
      <w:pPr>
        <w:ind w:left="279" w:leftChars="133" w:firstLine="0" w:firstLineChars="0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如果查状态是未通过，则需要再次上传</w:t>
      </w:r>
    </w:p>
    <w:p>
      <w:pPr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68595" cy="3491230"/>
            <wp:effectExtent l="0" t="0" r="4445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2"/>
          <w:szCs w:val="28"/>
          <w:lang w:val="en-US" w:eastAsia="zh-CN"/>
        </w:rPr>
      </w:pPr>
      <w:r>
        <w:rPr>
          <w:rFonts w:hint="eastAsia" w:ascii="Calibri" w:hAnsi="Calibri" w:eastAsia="宋体" w:cstheme="minorBidi"/>
          <w:b/>
          <w:bCs/>
          <w:kern w:val="2"/>
          <w:sz w:val="32"/>
          <w:szCs w:val="36"/>
          <w:lang w:val="en-US" w:eastAsia="zh-CN" w:bidi="ar-SA"/>
        </w:rPr>
        <w:t>（2）论文查重</w:t>
      </w:r>
    </w:p>
    <w:p>
      <w:pPr>
        <w:numPr>
          <w:ilvl w:val="0"/>
          <w:numId w:val="0"/>
        </w:numPr>
        <w:ind w:firstLine="280" w:firstLineChars="10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①论文-论文流程，点击论文上传后，点击论文查重</w:t>
      </w:r>
    </w:p>
    <w:p>
      <w:pPr>
        <w:numPr>
          <w:ilvl w:val="0"/>
          <w:numId w:val="0"/>
        </w:numPr>
        <w:ind w:firstLine="560" w:firstLineChars="20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点击立即检测</w:t>
      </w:r>
    </w:p>
    <w:p>
      <w:pPr>
        <w:numPr>
          <w:ilvl w:val="0"/>
          <w:numId w:val="0"/>
        </w:numPr>
        <w:rPr>
          <w:rFonts w:hint="eastAsia"/>
          <w:sz w:val="22"/>
          <w:szCs w:val="28"/>
          <w:lang w:val="en-US" w:eastAsia="zh-CN"/>
        </w:rPr>
      </w:pPr>
      <w:r>
        <w:rPr>
          <w:sz w:val="22"/>
          <w:szCs w:val="28"/>
        </w:rPr>
        <w:drawing>
          <wp:inline distT="0" distB="0" distL="114300" distR="114300">
            <wp:extent cx="5266690" cy="2028825"/>
            <wp:effectExtent l="0" t="0" r="10160" b="952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80" w:firstLineChars="10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②点击提交</w:t>
      </w:r>
    </w:p>
    <w:p>
      <w:pPr>
        <w:numPr>
          <w:ilvl w:val="0"/>
          <w:numId w:val="0"/>
        </w:numPr>
        <w:jc w:val="center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2405" cy="2108200"/>
            <wp:effectExtent l="0" t="0" r="635" b="1016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80" w:firstLineChars="10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跳转界面后选择“兑换优惠券”，点击下方的免费红包去使用，</w:t>
      </w:r>
    </w:p>
    <w:p>
      <w:pPr>
        <w:numPr>
          <w:ilvl w:val="0"/>
          <w:numId w:val="0"/>
        </w:numPr>
        <w:ind w:firstLine="280" w:firstLineChars="10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（每个学生只有2次免费查重的</w:t>
      </w:r>
      <w:bookmarkStart w:id="3" w:name="_GoBack"/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机会</w:t>
      </w:r>
      <w:bookmarkEnd w:id="3"/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）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，点击“开始检测”。</w:t>
      </w:r>
    </w:p>
    <w:p>
      <w:pPr>
        <w:numPr>
          <w:ilvl w:val="0"/>
          <w:numId w:val="0"/>
        </w:numPr>
        <w:jc w:val="both"/>
        <w:rPr>
          <w:sz w:val="22"/>
          <w:szCs w:val="28"/>
        </w:rPr>
      </w:pPr>
      <w:r>
        <w:drawing>
          <wp:inline distT="0" distB="0" distL="114300" distR="114300">
            <wp:extent cx="5274310" cy="3164205"/>
            <wp:effectExtent l="0" t="0" r="13970" b="57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80" w:firstLineChars="100"/>
        <w:rPr>
          <w:rFonts w:hint="default"/>
          <w:sz w:val="22"/>
          <w:szCs w:val="28"/>
          <w:lang w:val="en-U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③等待若干分钟，得到相似率则检测完成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sz w:val="22"/>
          <w:szCs w:val="28"/>
        </w:rPr>
        <w:drawing>
          <wp:inline distT="0" distB="0" distL="114300" distR="114300">
            <wp:extent cx="5267960" cy="1719580"/>
            <wp:effectExtent l="0" t="0" r="5080" b="25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sz w:val="22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④若免费次数已经消耗，则提示缴费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4535170" cy="1544320"/>
            <wp:effectExtent l="0" t="0" r="6350" b="1016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t="42973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240" w:lineRule="auto"/>
        <w:textAlignment w:val="auto"/>
        <w:outlineLvl w:val="0"/>
        <w:rPr>
          <w:rFonts w:hint="default"/>
          <w:sz w:val="32"/>
          <w:szCs w:val="36"/>
          <w:lang w:val="en-US" w:eastAsia="zh-CN"/>
        </w:rPr>
      </w:pPr>
      <w:bookmarkStart w:id="2" w:name="_Toc8856"/>
      <w:r>
        <w:rPr>
          <w:rFonts w:hint="eastAsia"/>
          <w:sz w:val="32"/>
          <w:szCs w:val="36"/>
          <w:lang w:val="en-US" w:eastAsia="zh-CN"/>
        </w:rPr>
        <w:t>3.提交</w:t>
      </w:r>
      <w:bookmarkEnd w:id="2"/>
      <w:r>
        <w:rPr>
          <w:rFonts w:hint="eastAsia"/>
          <w:sz w:val="32"/>
          <w:szCs w:val="36"/>
          <w:lang w:val="en-US" w:eastAsia="zh-CN"/>
        </w:rPr>
        <w:t>论文与检测报告</w:t>
      </w:r>
    </w:p>
    <w:p>
      <w:pPr>
        <w:ind w:firstLine="281" w:firstLineChars="100"/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返回提交页面，点图示刷新按钮，选择最新查重率，点最下方绿色提交按钮。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（学生不需要上传查重报告，提交后老师界面可以看到学生查重报告）</w:t>
      </w:r>
    </w:p>
    <w:p>
      <w:pPr>
        <w:ind w:firstLine="280" w:firstLineChars="100"/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ind w:firstLine="220" w:firstLineChars="100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3040" cy="4111625"/>
            <wp:effectExtent l="0" t="0" r="0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both"/>
        <w:rPr>
          <w:sz w:val="22"/>
          <w:szCs w:val="28"/>
        </w:rPr>
      </w:pPr>
    </w:p>
    <w:p>
      <w:pPr>
        <w:ind w:firstLine="281" w:firstLineChars="100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（2）如果选择的查重报告与论文版本不一致，如学生上传新版论文但选择了之前稿件的查重率，则出现这个提示。</w:t>
      </w:r>
    </w:p>
    <w:p>
      <w:pPr>
        <w:ind w:firstLine="562" w:firstLineChars="200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需要点击取消，返回上个页面，选择最新的查重率，重新选择查重报告，点击提交。</w:t>
      </w:r>
    </w:p>
    <w:p>
      <w:pPr>
        <w:ind w:firstLine="420" w:firstLineChars="200"/>
      </w:pPr>
      <w:r>
        <w:drawing>
          <wp:inline distT="0" distB="0" distL="114300" distR="114300">
            <wp:extent cx="5227320" cy="23012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点击替换并提交。</w:t>
      </w:r>
    </w:p>
    <w:p>
      <w:pPr>
        <w:numPr>
          <w:ilvl w:val="0"/>
          <w:numId w:val="0"/>
        </w:numPr>
        <w:ind w:firstLine="660" w:firstLineChars="300"/>
        <w:jc w:val="both"/>
        <w:rPr>
          <w:rFonts w:hint="default"/>
          <w:sz w:val="22"/>
          <w:szCs w:val="28"/>
          <w:lang w:val="en-US" w:eastAsia="zh-CN"/>
        </w:rPr>
      </w:pPr>
    </w:p>
    <w:p>
      <w:pPr>
        <w:jc w:val="both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3675" cy="1760220"/>
            <wp:effectExtent l="0" t="0" r="14605" b="762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2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+西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929368"/>
    <w:multiLevelType w:val="singleLevel"/>
    <w:tmpl w:val="A092936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wNDMwZDEyMDU2MTUzYzA0MDAxMDQ1NGFmNDk2ODMifQ=="/>
  </w:docVars>
  <w:rsids>
    <w:rsidRoot w:val="488608A8"/>
    <w:rsid w:val="02C17ACE"/>
    <w:rsid w:val="072D0BD1"/>
    <w:rsid w:val="0CC06645"/>
    <w:rsid w:val="0E175AFC"/>
    <w:rsid w:val="10D17D54"/>
    <w:rsid w:val="1C2A22C1"/>
    <w:rsid w:val="1E357984"/>
    <w:rsid w:val="20B93BE5"/>
    <w:rsid w:val="21834FA3"/>
    <w:rsid w:val="24F037B5"/>
    <w:rsid w:val="26D617C0"/>
    <w:rsid w:val="287D3AC8"/>
    <w:rsid w:val="2B8F0E2D"/>
    <w:rsid w:val="314E2DEE"/>
    <w:rsid w:val="35F90194"/>
    <w:rsid w:val="384A40FD"/>
    <w:rsid w:val="3CF47BF2"/>
    <w:rsid w:val="3EAB632E"/>
    <w:rsid w:val="420446F6"/>
    <w:rsid w:val="47CF5342"/>
    <w:rsid w:val="488608A8"/>
    <w:rsid w:val="49A5754D"/>
    <w:rsid w:val="4B284C57"/>
    <w:rsid w:val="4B7D454C"/>
    <w:rsid w:val="4CB228F0"/>
    <w:rsid w:val="50F232EF"/>
    <w:rsid w:val="55C12DF2"/>
    <w:rsid w:val="5BCA019E"/>
    <w:rsid w:val="5F2A7439"/>
    <w:rsid w:val="60CF6E5D"/>
    <w:rsid w:val="621E2D67"/>
    <w:rsid w:val="63C118F1"/>
    <w:rsid w:val="6794773C"/>
    <w:rsid w:val="6CDC516A"/>
    <w:rsid w:val="74304580"/>
    <w:rsid w:val="75A257EA"/>
    <w:rsid w:val="79C2793B"/>
    <w:rsid w:val="7DF6105B"/>
    <w:rsid w:val="7F5B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autoRedefine/>
    <w:qFormat/>
    <w:uiPriority w:val="0"/>
    <w:pPr>
      <w:keepNext/>
      <w:keepLines/>
      <w:spacing w:line="360" w:lineRule="auto"/>
      <w:outlineLvl w:val="0"/>
    </w:pPr>
    <w:rPr>
      <w:rFonts w:ascii="Calibri" w:hAnsi="Calibri" w:eastAsia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9"/>
    <w:autoRedefine/>
    <w:unhideWhenUsed/>
    <w:qFormat/>
    <w:uiPriority w:val="0"/>
    <w:pPr>
      <w:keepNext/>
      <w:keepLines/>
      <w:spacing w:before="50" w:beforeLines="50" w:line="360" w:lineRule="auto"/>
      <w:outlineLvl w:val="1"/>
    </w:pPr>
    <w:rPr>
      <w:rFonts w:ascii="Calibri" w:hAnsi="Calibri" w:eastAsia="宋体"/>
      <w:b/>
      <w:bCs/>
      <w:sz w:val="28"/>
      <w:szCs w:val="32"/>
    </w:rPr>
  </w:style>
  <w:style w:type="paragraph" w:styleId="4">
    <w:name w:val="heading 3"/>
    <w:basedOn w:val="1"/>
    <w:next w:val="1"/>
    <w:link w:val="10"/>
    <w:autoRedefine/>
    <w:semiHidden/>
    <w:unhideWhenUsed/>
    <w:qFormat/>
    <w:uiPriority w:val="0"/>
    <w:pPr>
      <w:keepNext/>
      <w:keepLines/>
      <w:spacing w:line="360" w:lineRule="auto"/>
      <w:outlineLvl w:val="2"/>
    </w:pPr>
    <w:rPr>
      <w:rFonts w:ascii="Calibri" w:hAnsi="Calibri" w:eastAsia="宋体"/>
      <w:b/>
      <w:bCs/>
      <w:sz w:val="28"/>
      <w:szCs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autoRedefine/>
    <w:qFormat/>
    <w:uiPriority w:val="0"/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  <w:style w:type="character" w:customStyle="1" w:styleId="9">
    <w:name w:val="标题 2 Char"/>
    <w:link w:val="3"/>
    <w:autoRedefine/>
    <w:qFormat/>
    <w:uiPriority w:val="0"/>
    <w:rPr>
      <w:rFonts w:ascii="Calibri" w:hAnsi="Calibri" w:eastAsia="宋体"/>
      <w:b/>
      <w:bCs/>
      <w:kern w:val="2"/>
      <w:sz w:val="28"/>
      <w:szCs w:val="32"/>
    </w:rPr>
  </w:style>
  <w:style w:type="character" w:customStyle="1" w:styleId="10">
    <w:name w:val="标题 3 Char"/>
    <w:link w:val="4"/>
    <w:autoRedefine/>
    <w:qFormat/>
    <w:uiPriority w:val="0"/>
    <w:rPr>
      <w:rFonts w:ascii="Calibri" w:hAnsi="Calibri" w:eastAsia="宋体"/>
      <w:b/>
      <w:bCs/>
      <w:kern w:val="2"/>
      <w:sz w:val="28"/>
      <w:szCs w:val="32"/>
    </w:rPr>
  </w:style>
  <w:style w:type="character" w:customStyle="1" w:styleId="11">
    <w:name w:val="标题 1 Char"/>
    <w:link w:val="2"/>
    <w:autoRedefine/>
    <w:qFormat/>
    <w:uiPriority w:val="0"/>
    <w:rPr>
      <w:rFonts w:ascii="Calibri" w:hAnsi="Calibri" w:eastAsia="宋体"/>
      <w:b/>
      <w:bCs/>
      <w:kern w:val="44"/>
      <w:sz w:val="44"/>
      <w:szCs w:val="44"/>
    </w:rPr>
  </w:style>
  <w:style w:type="paragraph" w:customStyle="1" w:styleId="12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733</Words>
  <Characters>772</Characters>
  <Lines>0</Lines>
  <Paragraphs>0</Paragraphs>
  <TotalTime>1</TotalTime>
  <ScaleCrop>false</ScaleCrop>
  <LinksUpToDate>false</LinksUpToDate>
  <CharactersWithSpaces>801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2022-10-24T09:07:00Z</dcterms:created>
  <dc:creator>domo</dc:creator>
  <cp:lastModifiedBy>domo</cp:lastModifiedBy>
  <dcterms:modified xsi:type="dcterms:W3CDTF">2024-03-05T16:58:13Z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29098475C5B54AC3A3FA68251A013661</vt:lpwstr>
  </property>
</Properties>
</file>